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D81" w:rsidRDefault="00F85D81" w:rsidP="00F85D81">
      <w:pPr>
        <w:spacing w:line="480" w:lineRule="auto"/>
        <w:jc w:val="center"/>
        <w:rPr>
          <w:rFonts w:ascii="Times New Roman" w:hAnsi="Times New Roman" w:cs="Times New Roman"/>
          <w:sz w:val="24"/>
          <w:szCs w:val="24"/>
        </w:rPr>
      </w:pPr>
      <w:bookmarkStart w:id="0" w:name="_GoBack"/>
      <w:bookmarkEnd w:id="0"/>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t>Article Questions.</w:t>
      </w:r>
    </w:p>
    <w:p w:rsidR="00F85D81" w:rsidRPr="00F85D81" w:rsidRDefault="00F85D81"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t>Name.</w:t>
      </w:r>
    </w:p>
    <w:p w:rsidR="00F85D81" w:rsidRPr="00F85D81" w:rsidRDefault="00F85D81"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t>Institution.</w:t>
      </w:r>
    </w:p>
    <w:p w:rsidR="00F85D81" w:rsidRPr="00F85D81" w:rsidRDefault="00F85D81"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t>Date.</w:t>
      </w: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p>
    <w:p w:rsidR="00F85D81" w:rsidRPr="00F85D81" w:rsidRDefault="00F85D81" w:rsidP="00F85D81">
      <w:pPr>
        <w:spacing w:line="480" w:lineRule="auto"/>
        <w:rPr>
          <w:rFonts w:ascii="Times New Roman" w:hAnsi="Times New Roman" w:cs="Times New Roman"/>
          <w:sz w:val="24"/>
          <w:szCs w:val="24"/>
        </w:rPr>
      </w:pPr>
    </w:p>
    <w:p w:rsidR="00F85D81" w:rsidRPr="00F85D81" w:rsidRDefault="00F85D81"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lastRenderedPageBreak/>
        <w:t>Article Questions.</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t>Question 1.</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study is based on the assertion that individuals with a generalized anxiety disorder (GAD) tend to be hypersensitive to sharp upward shifts featured with negative emotions which often accompany negative factors. It is also based on the assertion that GAD applied worry to effectively maintain sustained interpersonal negativity in an attempt to avoid negative shifts (Llera &amp; Newman, 2014). The study is bound to t</w:t>
      </w:r>
      <w:r w:rsidR="002025CF">
        <w:rPr>
          <w:rFonts w:ascii="Times New Roman" w:hAnsi="Times New Roman" w:cs="Times New Roman"/>
          <w:sz w:val="24"/>
          <w:szCs w:val="24"/>
        </w:rPr>
        <w:t xml:space="preserve">hought-provoking questions. The main question is: </w:t>
      </w:r>
      <w:r w:rsidRPr="00F85D81">
        <w:rPr>
          <w:rFonts w:ascii="Times New Roman" w:hAnsi="Times New Roman" w:cs="Times New Roman"/>
          <w:sz w:val="24"/>
          <w:szCs w:val="24"/>
        </w:rPr>
        <w:t>what are the change</w:t>
      </w:r>
      <w:r w:rsidR="002025CF">
        <w:rPr>
          <w:rFonts w:ascii="Times New Roman" w:hAnsi="Times New Roman" w:cs="Times New Roman"/>
          <w:sz w:val="24"/>
          <w:szCs w:val="24"/>
        </w:rPr>
        <w:t>s caused by negative emotions</w:t>
      </w:r>
      <w:r w:rsidRPr="00F85D81">
        <w:rPr>
          <w:rFonts w:ascii="Times New Roman" w:hAnsi="Times New Roman" w:cs="Times New Roman"/>
          <w:sz w:val="24"/>
          <w:szCs w:val="24"/>
        </w:rPr>
        <w:t xml:space="preserve"> from baseline to worry inductions in relation with a </w:t>
      </w:r>
      <w:r>
        <w:rPr>
          <w:rFonts w:ascii="Times New Roman" w:hAnsi="Times New Roman" w:cs="Times New Roman"/>
          <w:sz w:val="24"/>
          <w:szCs w:val="24"/>
        </w:rPr>
        <w:t>range of emotional exposures?  T</w:t>
      </w:r>
      <w:r w:rsidRPr="00F85D81">
        <w:rPr>
          <w:rFonts w:ascii="Times New Roman" w:hAnsi="Times New Roman" w:cs="Times New Roman"/>
          <w:sz w:val="24"/>
          <w:szCs w:val="24"/>
        </w:rPr>
        <w:t>he study aimed to assess the participant’s sub</w:t>
      </w:r>
      <w:r w:rsidR="002025CF">
        <w:rPr>
          <w:rFonts w:ascii="Times New Roman" w:hAnsi="Times New Roman" w:cs="Times New Roman"/>
          <w:sz w:val="24"/>
          <w:szCs w:val="24"/>
        </w:rPr>
        <w:t xml:space="preserve">jective appraisals before worrying </w:t>
      </w:r>
      <w:r w:rsidRPr="00F85D81">
        <w:rPr>
          <w:rFonts w:ascii="Times New Roman" w:hAnsi="Times New Roman" w:cs="Times New Roman"/>
          <w:sz w:val="24"/>
          <w:szCs w:val="24"/>
        </w:rPr>
        <w:t>about helping them to cope with negative emotional exposure.</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t>Question 2.</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authors believe that this question is important since it would he</w:t>
      </w:r>
      <w:r w:rsidR="002025CF">
        <w:rPr>
          <w:rFonts w:ascii="Times New Roman" w:hAnsi="Times New Roman" w:cs="Times New Roman"/>
          <w:sz w:val="24"/>
          <w:szCs w:val="24"/>
        </w:rPr>
        <w:t>lp in understanding the features</w:t>
      </w:r>
      <w:r w:rsidRPr="00F85D81">
        <w:rPr>
          <w:rFonts w:ascii="Times New Roman" w:hAnsi="Times New Roman" w:cs="Times New Roman"/>
          <w:sz w:val="24"/>
          <w:szCs w:val="24"/>
        </w:rPr>
        <w:t xml:space="preserve"> of people with generalized anxiety disorder.  It would also help in evaluating overwhelming emotional experiences amid the people. They also believed that the question would help them to shed light on how worry facilitates and sustains negative emotionality (Llera &amp; Newman, 2014). The authors believe that negative emotionality during the worry induction would certainly prevent a sharp increase in psychological emotionality during fearful exposure. They also believed that the study would serve as a breakthrough on how </w:t>
      </w:r>
      <w:r w:rsidR="002025CF">
        <w:rPr>
          <w:rFonts w:ascii="Times New Roman" w:hAnsi="Times New Roman" w:cs="Times New Roman"/>
          <w:sz w:val="24"/>
          <w:szCs w:val="24"/>
        </w:rPr>
        <w:t xml:space="preserve">to </w:t>
      </w:r>
      <w:r w:rsidRPr="00F85D81">
        <w:rPr>
          <w:rFonts w:ascii="Times New Roman" w:hAnsi="Times New Roman" w:cs="Times New Roman"/>
          <w:sz w:val="24"/>
          <w:szCs w:val="24"/>
        </w:rPr>
        <w:t xml:space="preserve">lower negative emotions and this would facilitate stronger emotional comparisons in the effort to respond to negative exposures (Llera &amp; Newman, 2014). </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t>Question 3.</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lastRenderedPageBreak/>
        <w:t xml:space="preserve">The authors tried to answer the question by the use of block design to explore the differential effects of worry, relaxation as well as neutral inductions on the aspect of reactivity </w:t>
      </w:r>
      <w:r w:rsidR="002025CF">
        <w:rPr>
          <w:rFonts w:ascii="Times New Roman" w:hAnsi="Times New Roman" w:cs="Times New Roman"/>
          <w:sz w:val="24"/>
          <w:szCs w:val="24"/>
        </w:rPr>
        <w:t xml:space="preserve">in </w:t>
      </w:r>
      <w:r w:rsidRPr="00F85D81">
        <w:rPr>
          <w:rFonts w:ascii="Times New Roman" w:hAnsi="Times New Roman" w:cs="Times New Roman"/>
          <w:sz w:val="24"/>
          <w:szCs w:val="24"/>
        </w:rPr>
        <w:t xml:space="preserve">accordance with different subsequent stimuli for persons with GAD and nonanxious controls. To access relevant data, the researchers used sample populations of 95 participants. The participants were selected based on their scores in GAD questionnaire (GAD-G-IV) with 9-items of DSM-IV. The authors used manipulation check measures to ensure that all aspects of induction were successful by the use of three 5- point Likert scales. This helped in assessing levels of anxiety, relaxation, and worry experienced as a result of the induction period (Llera &amp; Newman, 2014).  Researchers used standardized film clips as emotional stimuli </w:t>
      </w:r>
      <w:r w:rsidR="002025CF">
        <w:rPr>
          <w:rFonts w:ascii="Times New Roman" w:hAnsi="Times New Roman" w:cs="Times New Roman"/>
          <w:sz w:val="24"/>
          <w:szCs w:val="24"/>
        </w:rPr>
        <w:t xml:space="preserve">to </w:t>
      </w:r>
      <w:r w:rsidRPr="00F85D81">
        <w:rPr>
          <w:rFonts w:ascii="Times New Roman" w:hAnsi="Times New Roman" w:cs="Times New Roman"/>
          <w:sz w:val="24"/>
          <w:szCs w:val="24"/>
        </w:rPr>
        <w:t>ensure consistency of emotional exposure across participants among others. Before the actual study, the participant</w:t>
      </w:r>
      <w:r w:rsidR="002025CF">
        <w:rPr>
          <w:rFonts w:ascii="Times New Roman" w:hAnsi="Times New Roman" w:cs="Times New Roman"/>
          <w:sz w:val="24"/>
          <w:szCs w:val="24"/>
        </w:rPr>
        <w:t xml:space="preserve">s were </w:t>
      </w:r>
      <w:r w:rsidRPr="00F85D81">
        <w:rPr>
          <w:rFonts w:ascii="Times New Roman" w:hAnsi="Times New Roman" w:cs="Times New Roman"/>
          <w:sz w:val="24"/>
          <w:szCs w:val="24"/>
        </w:rPr>
        <w:t>served with informed consent, and hence they were expected to fill a contrast avoidance questionnaire.  The researchers used MANOVA analysis technique to examine the scored data.</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t>Question 4.</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study found that individuals with GAD were featured with a higher BDI score unlike the case with the nonanxious participants.  There was no distinction amid worry, relaxation and neutral indication situations. The study also provided that participants in the GAD group were taking medications more often unlike the case with those who were subjected in the control group; however, no significant difference was noted across worry, relaxation, an</w:t>
      </w:r>
      <w:r w:rsidR="009E1BAF">
        <w:rPr>
          <w:rFonts w:ascii="Times New Roman" w:hAnsi="Times New Roman" w:cs="Times New Roman"/>
          <w:sz w:val="24"/>
          <w:szCs w:val="24"/>
        </w:rPr>
        <w:t>d neutral induction conditions.</w:t>
      </w:r>
      <w:r w:rsidRPr="00F85D81">
        <w:rPr>
          <w:rFonts w:ascii="Times New Roman" w:hAnsi="Times New Roman" w:cs="Times New Roman"/>
          <w:sz w:val="24"/>
          <w:szCs w:val="24"/>
        </w:rPr>
        <w:t xml:space="preserve"> The GAD group was fouled to have a lower level of contentment and happiness and higher levels of sadness than controls (Llera &amp; Newman, 2014).  Overall, there was no difference amid worry, relaxation, and neutral induction cond</w:t>
      </w:r>
      <w:r w:rsidR="009E1BAF">
        <w:rPr>
          <w:rFonts w:ascii="Times New Roman" w:hAnsi="Times New Roman" w:cs="Times New Roman"/>
          <w:sz w:val="24"/>
          <w:szCs w:val="24"/>
        </w:rPr>
        <w:t xml:space="preserve">itions (Llera &amp; Newman, 2014). </w:t>
      </w:r>
      <w:r w:rsidRPr="00F85D81">
        <w:rPr>
          <w:rFonts w:ascii="Times New Roman" w:hAnsi="Times New Roman" w:cs="Times New Roman"/>
          <w:sz w:val="24"/>
          <w:szCs w:val="24"/>
        </w:rPr>
        <w:t xml:space="preserve">They also found that there existed no deviation across groups or induction situations on resting physiological arousal levels. </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lastRenderedPageBreak/>
        <w:t>Question 5.</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authors interpreted that worry boosts negative emotionality and this promotes an increase in the event of a negative stimulus. It also facilitates the avoidance of negative emotional contrasts (Llera &amp; Newman, 2014). According to contrast avoidance model of GAD, the cycle adversely reinforces the viewpoint of individuals with GAD in the sense that chronic worrying is a means to feel ardently braced for the challenging results (Llera &amp; Newman, 2014). Worry led to significant increases in personal negative emotionality for both GAD and nonanxious controls. These include; fear, tension, sadness, anger, as well as disgust (Llera &amp; Newman, 2014). More on this, worry decreases contentment from baseline, while relaxation together with neutral inductions did not prove substantial alteration from baseline. They finalized that reduced power of missing data challenged the psychological findings (Llera &amp; Newman, 2014). The authors also interpreted that individuals with generalized anxiety disorder taking a chronic negative interpersonal stance to manage their emotional hyper-reactivity to stressful events and matches the discovery that worriers approve with worry as a means to feel more prepared in an incident of negative events (Llera &amp; Newman, 2014). The study implies that there is a need to study further on maladaptive efforts with respect to emotional coping more generally. This will bring about better diagnosis and treatment of anxiety disorders.</w:t>
      </w:r>
    </w:p>
    <w:p w:rsidR="00F85D81" w:rsidRPr="00F85D81" w:rsidRDefault="00F85D81" w:rsidP="00F85D81">
      <w:pPr>
        <w:spacing w:line="480" w:lineRule="auto"/>
        <w:ind w:firstLine="720"/>
        <w:jc w:val="center"/>
        <w:rPr>
          <w:rFonts w:ascii="Times New Roman" w:hAnsi="Times New Roman" w:cs="Times New Roman"/>
          <w:sz w:val="24"/>
          <w:szCs w:val="24"/>
        </w:rPr>
      </w:pPr>
      <w:r w:rsidRPr="00F85D81">
        <w:rPr>
          <w:rFonts w:ascii="Times New Roman" w:hAnsi="Times New Roman" w:cs="Times New Roman"/>
          <w:sz w:val="24"/>
          <w:szCs w:val="24"/>
        </w:rPr>
        <w:t>Question 6.</w:t>
      </w:r>
    </w:p>
    <w:p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study provides a firm basis for understanding the concept of worry and its related factors. It shares the insight that worry is the leading cause of adverse psychological factors such as loss of happiness, tension, and sadness. However, the study failed to address the issue of GAD in greater details. As such, it does not give information on how worry d</w:t>
      </w:r>
      <w:r w:rsidR="002025CF">
        <w:rPr>
          <w:rFonts w:ascii="Times New Roman" w:hAnsi="Times New Roman" w:cs="Times New Roman"/>
          <w:sz w:val="24"/>
          <w:szCs w:val="24"/>
        </w:rPr>
        <w:t>evelops. It gives much emphasis</w:t>
      </w:r>
      <w:r w:rsidRPr="00F85D81">
        <w:rPr>
          <w:rFonts w:ascii="Times New Roman" w:hAnsi="Times New Roman" w:cs="Times New Roman"/>
          <w:sz w:val="24"/>
          <w:szCs w:val="24"/>
        </w:rPr>
        <w:t xml:space="preserve"> on the emotional effects of worry, and it does not shed light on the long-term effects of </w:t>
      </w:r>
      <w:r w:rsidRPr="00F85D81">
        <w:rPr>
          <w:rFonts w:ascii="Times New Roman" w:hAnsi="Times New Roman" w:cs="Times New Roman"/>
          <w:sz w:val="24"/>
          <w:szCs w:val="24"/>
        </w:rPr>
        <w:lastRenderedPageBreak/>
        <w:t>worry.  The study used a contrast avoidance model which has adverse effects on psychological and physical functioning. The study does not demonstrate how negative defensive stance</w:t>
      </w:r>
      <w:r w:rsidR="002025CF">
        <w:rPr>
          <w:rFonts w:ascii="Times New Roman" w:hAnsi="Times New Roman" w:cs="Times New Roman"/>
          <w:sz w:val="24"/>
          <w:szCs w:val="24"/>
        </w:rPr>
        <w:t xml:space="preserve"> works</w:t>
      </w:r>
      <w:r w:rsidRPr="00F85D81">
        <w:rPr>
          <w:rFonts w:ascii="Times New Roman" w:hAnsi="Times New Roman" w:cs="Times New Roman"/>
          <w:sz w:val="24"/>
          <w:szCs w:val="24"/>
        </w:rPr>
        <w:t xml:space="preserve"> to avoid emotional responding to stressors hinders emotional learning (Llera &amp; Newman, 2014). It does not offer effective guidance to the GAD persons on how they can prevent and possibly manage worry and other related effects.</w:t>
      </w: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9E1BAF" w:rsidRDefault="009E1BAF" w:rsidP="00F85D81">
      <w:pPr>
        <w:spacing w:line="480" w:lineRule="auto"/>
        <w:jc w:val="center"/>
        <w:rPr>
          <w:rFonts w:ascii="Times New Roman" w:hAnsi="Times New Roman" w:cs="Times New Roman"/>
          <w:sz w:val="24"/>
          <w:szCs w:val="24"/>
        </w:rPr>
      </w:pPr>
    </w:p>
    <w:p w:rsidR="00EC10E6" w:rsidRPr="00F85D81" w:rsidRDefault="00EC10E6" w:rsidP="00F85D81">
      <w:pPr>
        <w:spacing w:line="480" w:lineRule="auto"/>
        <w:jc w:val="center"/>
        <w:rPr>
          <w:rFonts w:ascii="Times New Roman" w:hAnsi="Times New Roman" w:cs="Times New Roman"/>
          <w:sz w:val="24"/>
          <w:szCs w:val="24"/>
        </w:rPr>
      </w:pPr>
      <w:r w:rsidRPr="00F85D81">
        <w:rPr>
          <w:rFonts w:ascii="Times New Roman" w:hAnsi="Times New Roman" w:cs="Times New Roman"/>
          <w:sz w:val="24"/>
          <w:szCs w:val="24"/>
        </w:rPr>
        <w:lastRenderedPageBreak/>
        <w:t>Reference.</w:t>
      </w:r>
    </w:p>
    <w:p w:rsidR="00EC10E6" w:rsidRPr="00F85D81" w:rsidRDefault="0012438E" w:rsidP="00F85D81">
      <w:pPr>
        <w:spacing w:line="480" w:lineRule="auto"/>
        <w:ind w:left="720" w:hanging="720"/>
        <w:rPr>
          <w:rFonts w:ascii="Times New Roman" w:hAnsi="Times New Roman" w:cs="Times New Roman"/>
          <w:sz w:val="24"/>
          <w:szCs w:val="24"/>
        </w:rPr>
      </w:pPr>
      <w:r w:rsidRPr="00F85D81">
        <w:rPr>
          <w:rFonts w:ascii="Times New Roman" w:hAnsi="Times New Roman" w:cs="Times New Roman"/>
          <w:sz w:val="24"/>
          <w:szCs w:val="24"/>
        </w:rPr>
        <w:t xml:space="preserve">Llera, S. J.,&amp; NewmanM. G.,(2014). </w:t>
      </w:r>
      <w:r w:rsidR="00EC10E6" w:rsidRPr="00F85D81">
        <w:rPr>
          <w:rFonts w:ascii="Times New Roman" w:hAnsi="Times New Roman" w:cs="Times New Roman"/>
          <w:sz w:val="24"/>
          <w:szCs w:val="24"/>
        </w:rPr>
        <w:t xml:space="preserve">Rethinking the Role of Worry in Generalized Anxiety Disorder: Evidence Supporting a Model </w:t>
      </w:r>
      <w:r w:rsidRPr="00F85D81">
        <w:rPr>
          <w:rFonts w:ascii="Times New Roman" w:hAnsi="Times New Roman" w:cs="Times New Roman"/>
          <w:sz w:val="24"/>
          <w:szCs w:val="24"/>
        </w:rPr>
        <w:t xml:space="preserve">of Emotional Contrast Avoidance. Science direct. </w:t>
      </w:r>
      <w:hyperlink r:id="rId6" w:history="1">
        <w:r w:rsidRPr="00F85D81">
          <w:rPr>
            <w:rStyle w:val="Hyperlink"/>
            <w:rFonts w:ascii="Times New Roman" w:hAnsi="Times New Roman" w:cs="Times New Roman"/>
            <w:sz w:val="24"/>
            <w:szCs w:val="24"/>
          </w:rPr>
          <w:t>file:///C:/Users/user/Downloads/Llera%20+%20Newman.%20(2014).%20Evidence%20emotional%20contrast%20model.pdf</w:t>
        </w:r>
      </w:hyperlink>
    </w:p>
    <w:sectPr w:rsidR="00EC10E6" w:rsidRPr="00F85D81" w:rsidSect="00F85D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EB4" w:rsidRDefault="00692EB4" w:rsidP="0052542F">
      <w:pPr>
        <w:spacing w:after="0" w:line="240" w:lineRule="auto"/>
      </w:pPr>
      <w:r>
        <w:separator/>
      </w:r>
    </w:p>
  </w:endnote>
  <w:endnote w:type="continuationSeparator" w:id="1">
    <w:p w:rsidR="00692EB4" w:rsidRDefault="00692EB4" w:rsidP="00525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EB4" w:rsidRDefault="00692EB4" w:rsidP="0052542F">
      <w:pPr>
        <w:spacing w:after="0" w:line="240" w:lineRule="auto"/>
      </w:pPr>
      <w:r>
        <w:separator/>
      </w:r>
    </w:p>
  </w:footnote>
  <w:footnote w:type="continuationSeparator" w:id="1">
    <w:p w:rsidR="00692EB4" w:rsidRDefault="00692EB4" w:rsidP="00525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81" w:rsidRPr="00F85D81" w:rsidRDefault="00F85D81" w:rsidP="00F85D81">
    <w:pPr>
      <w:rPr>
        <w:rFonts w:ascii="Times New Roman" w:hAnsi="Times New Roman" w:cs="Times New Roman"/>
        <w:sz w:val="24"/>
        <w:szCs w:val="24"/>
      </w:rPr>
    </w:pPr>
    <w:r w:rsidRPr="00F85D81">
      <w:rPr>
        <w:rFonts w:ascii="Times New Roman" w:hAnsi="Times New Roman" w:cs="Times New Roman"/>
        <w:sz w:val="24"/>
        <w:szCs w:val="24"/>
      </w:rPr>
      <w:t>ARTICLE QUESTIONS.</w:t>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sdt>
      <w:sdtPr>
        <w:rPr>
          <w:rFonts w:ascii="Times New Roman" w:hAnsi="Times New Roman" w:cs="Times New Roman"/>
          <w:sz w:val="24"/>
          <w:szCs w:val="24"/>
        </w:rPr>
        <w:id w:val="10730468"/>
        <w:docPartObj>
          <w:docPartGallery w:val="Page Numbers (Top of Page)"/>
          <w:docPartUnique/>
        </w:docPartObj>
      </w:sdtPr>
      <w:sdtEndPr>
        <w:rPr>
          <w:noProof/>
        </w:rPr>
      </w:sdtEndPr>
      <w:sdtContent>
        <w:r w:rsidR="000B133D" w:rsidRPr="00F85D81">
          <w:rPr>
            <w:rFonts w:ascii="Times New Roman" w:hAnsi="Times New Roman" w:cs="Times New Roman"/>
            <w:sz w:val="24"/>
            <w:szCs w:val="24"/>
          </w:rPr>
          <w:fldChar w:fldCharType="begin"/>
        </w:r>
        <w:r w:rsidRPr="00F85D81">
          <w:rPr>
            <w:rFonts w:ascii="Times New Roman" w:hAnsi="Times New Roman" w:cs="Times New Roman"/>
            <w:sz w:val="24"/>
            <w:szCs w:val="24"/>
          </w:rPr>
          <w:instrText xml:space="preserve"> PAGE   \* MERGEFORMAT </w:instrText>
        </w:r>
        <w:r w:rsidR="000B133D" w:rsidRPr="00F85D81">
          <w:rPr>
            <w:rFonts w:ascii="Times New Roman" w:hAnsi="Times New Roman" w:cs="Times New Roman"/>
            <w:sz w:val="24"/>
            <w:szCs w:val="24"/>
          </w:rPr>
          <w:fldChar w:fldCharType="separate"/>
        </w:r>
        <w:r w:rsidR="002025CF">
          <w:rPr>
            <w:rFonts w:ascii="Times New Roman" w:hAnsi="Times New Roman" w:cs="Times New Roman"/>
            <w:noProof/>
            <w:sz w:val="24"/>
            <w:szCs w:val="24"/>
          </w:rPr>
          <w:t>5</w:t>
        </w:r>
        <w:r w:rsidR="000B133D" w:rsidRPr="00F85D81">
          <w:rPr>
            <w:rFonts w:ascii="Times New Roman" w:hAnsi="Times New Roman" w:cs="Times New Roman"/>
            <w:noProof/>
            <w:sz w:val="24"/>
            <w:szCs w:val="24"/>
          </w:rPr>
          <w:fldChar w:fldCharType="end"/>
        </w:r>
      </w:sdtContent>
    </w:sdt>
  </w:p>
  <w:p w:rsidR="00F85D81" w:rsidRPr="00F85D81" w:rsidRDefault="00F85D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81" w:rsidRPr="00F85D81" w:rsidRDefault="00F85D81" w:rsidP="00F85D81">
    <w:pPr>
      <w:rPr>
        <w:rFonts w:ascii="Times New Roman" w:hAnsi="Times New Roman" w:cs="Times New Roman"/>
        <w:sz w:val="24"/>
        <w:szCs w:val="24"/>
      </w:rPr>
    </w:pPr>
    <w:r w:rsidRPr="00F85D81">
      <w:rPr>
        <w:rFonts w:ascii="Times New Roman" w:hAnsi="Times New Roman" w:cs="Times New Roman"/>
        <w:sz w:val="24"/>
        <w:szCs w:val="24"/>
      </w:rPr>
      <w:t>Running Head: ARTICLE QUESTIONS.</w:t>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r w:rsidRPr="00F85D81">
      <w:rPr>
        <w:rFonts w:ascii="Times New Roman" w:hAnsi="Times New Roman" w:cs="Times New Roman"/>
        <w:sz w:val="24"/>
        <w:szCs w:val="24"/>
      </w:rPr>
      <w:tab/>
    </w:r>
    <w:sdt>
      <w:sdtPr>
        <w:rPr>
          <w:rFonts w:ascii="Times New Roman" w:hAnsi="Times New Roman" w:cs="Times New Roman"/>
          <w:sz w:val="24"/>
          <w:szCs w:val="24"/>
        </w:rPr>
        <w:id w:val="1095821290"/>
        <w:docPartObj>
          <w:docPartGallery w:val="Page Numbers (Top of Page)"/>
          <w:docPartUnique/>
        </w:docPartObj>
      </w:sdtPr>
      <w:sdtEndPr>
        <w:rPr>
          <w:noProof/>
        </w:rPr>
      </w:sdtEndPr>
      <w:sdtContent>
        <w:r w:rsidR="000B133D" w:rsidRPr="00F85D81">
          <w:rPr>
            <w:rFonts w:ascii="Times New Roman" w:hAnsi="Times New Roman" w:cs="Times New Roman"/>
            <w:sz w:val="24"/>
            <w:szCs w:val="24"/>
          </w:rPr>
          <w:fldChar w:fldCharType="begin"/>
        </w:r>
        <w:r w:rsidRPr="00F85D81">
          <w:rPr>
            <w:rFonts w:ascii="Times New Roman" w:hAnsi="Times New Roman" w:cs="Times New Roman"/>
            <w:sz w:val="24"/>
            <w:szCs w:val="24"/>
          </w:rPr>
          <w:instrText xml:space="preserve"> PAGE   \* MERGEFORMAT </w:instrText>
        </w:r>
        <w:r w:rsidR="000B133D" w:rsidRPr="00F85D81">
          <w:rPr>
            <w:rFonts w:ascii="Times New Roman" w:hAnsi="Times New Roman" w:cs="Times New Roman"/>
            <w:sz w:val="24"/>
            <w:szCs w:val="24"/>
          </w:rPr>
          <w:fldChar w:fldCharType="separate"/>
        </w:r>
        <w:r w:rsidR="002025CF">
          <w:rPr>
            <w:rFonts w:ascii="Times New Roman" w:hAnsi="Times New Roman" w:cs="Times New Roman"/>
            <w:noProof/>
            <w:sz w:val="24"/>
            <w:szCs w:val="24"/>
          </w:rPr>
          <w:t>1</w:t>
        </w:r>
        <w:r w:rsidR="000B133D" w:rsidRPr="00F85D81">
          <w:rPr>
            <w:rFonts w:ascii="Times New Roman" w:hAnsi="Times New Roman" w:cs="Times New Roman"/>
            <w:noProof/>
            <w:sz w:val="24"/>
            <w:szCs w:val="24"/>
          </w:rPr>
          <w:fldChar w:fldCharType="end"/>
        </w:r>
      </w:sdtContent>
    </w:sdt>
  </w:p>
  <w:p w:rsidR="00F85D81" w:rsidRPr="00F85D81" w:rsidRDefault="00F85D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0C52"/>
    <w:rsid w:val="000B133D"/>
    <w:rsid w:val="0012438E"/>
    <w:rsid w:val="0013356E"/>
    <w:rsid w:val="001931BE"/>
    <w:rsid w:val="002025CF"/>
    <w:rsid w:val="002344F1"/>
    <w:rsid w:val="00241A6B"/>
    <w:rsid w:val="0029265D"/>
    <w:rsid w:val="003372DC"/>
    <w:rsid w:val="004070EF"/>
    <w:rsid w:val="0052542F"/>
    <w:rsid w:val="00552300"/>
    <w:rsid w:val="00565826"/>
    <w:rsid w:val="005D5D46"/>
    <w:rsid w:val="00620B0A"/>
    <w:rsid w:val="00692EB4"/>
    <w:rsid w:val="008E05C6"/>
    <w:rsid w:val="00900354"/>
    <w:rsid w:val="009052F6"/>
    <w:rsid w:val="00917F78"/>
    <w:rsid w:val="00983D04"/>
    <w:rsid w:val="009D365D"/>
    <w:rsid w:val="009E1BAF"/>
    <w:rsid w:val="00A47B3B"/>
    <w:rsid w:val="00A80C52"/>
    <w:rsid w:val="00AD243A"/>
    <w:rsid w:val="00AF664A"/>
    <w:rsid w:val="00BF2E7C"/>
    <w:rsid w:val="00C9399D"/>
    <w:rsid w:val="00D31E84"/>
    <w:rsid w:val="00D34CDF"/>
    <w:rsid w:val="00DE7CA8"/>
    <w:rsid w:val="00E8342C"/>
    <w:rsid w:val="00E9332F"/>
    <w:rsid w:val="00EC10E6"/>
    <w:rsid w:val="00EF3E2F"/>
    <w:rsid w:val="00F003ED"/>
    <w:rsid w:val="00F82746"/>
    <w:rsid w:val="00F85D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3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42F"/>
  </w:style>
  <w:style w:type="paragraph" w:styleId="Footer">
    <w:name w:val="footer"/>
    <w:basedOn w:val="Normal"/>
    <w:link w:val="FooterChar"/>
    <w:uiPriority w:val="99"/>
    <w:unhideWhenUsed/>
    <w:rsid w:val="00525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42F"/>
  </w:style>
  <w:style w:type="character" w:styleId="Hyperlink">
    <w:name w:val="Hyperlink"/>
    <w:basedOn w:val="DefaultParagraphFont"/>
    <w:uiPriority w:val="99"/>
    <w:unhideWhenUsed/>
    <w:rsid w:val="0012438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Llera%20+%20Newman.%20(2014).%20Evidence%20emotional%20contrast%20mode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2018-10-23T06:47:00Z</dcterms:created>
  <dcterms:modified xsi:type="dcterms:W3CDTF">2018-10-23T06:47:00Z</dcterms:modified>
</cp:coreProperties>
</file>